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Composants du système</w:t>
      </w:r>
    </w:p>
    <w:p/>
    <w:p>
      <w:pPr/>
      <w:r>
        <w:rPr>
          <w:b w:val="1"/>
          <w:bCs w:val="1"/>
        </w:rPr>
        <w:t xml:space="preserve">Interface IP KNX-S IPI100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• Garantie du fabricant: 5 ans</w:t>
      </w:r>
      <w:br/>
      <w:r>
        <w:rPr/>
        <w:t xml:space="preserve">• UC1, Code EAN: 4007841095963</w:t>
      </w:r>
      <w:br/>
      <w:r>
        <w:rPr/>
        <w:t xml:space="preserve">• Montage: autre</w:t>
      </w:r>
      <w:br/>
      <w:r>
        <w:rPr/>
        <w:t xml:space="preserve">• Tension d'alimentation détails: Bus KNX</w:t>
      </w:r>
      <w:br/>
      <w:r>
        <w:rPr/>
        <w:t xml:space="preserve">• KNX Medium: TP 256</w:t>
      </w:r>
      <w:br/>
      <w:r>
        <w:rPr/>
        <w:t xml:space="preserve">• KNX Secure: Oui</w:t>
      </w:r>
      <w:br/>
      <w:r>
        <w:rPr/>
        <w:t xml:space="preserve">• Catègorie de produits: Composants du système</w:t>
      </w:r>
      <w:br/>
      <w:r>
        <w:rPr/>
        <w:t xml:space="preserve">• Stromaufnahme Bus Eingabe: 20 mA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095963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Interface IP KNX-S IPI100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2026-09-30T09:28:29+02:00</dcterms:created>
  <dcterms:modified xsi:type="dcterms:W3CDTF">2026-09-30T09:28:29+02:00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